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thumbnail.emf" ContentType="image/x-emf"/>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thumbnail" Target="docProps/thumbnail.emf" /><Relationship Id="rId3" Type="http://schemas.openxmlformats.org/package/2006/relationships/metadata/core-properties" Target="docProps/core.xml" /><Relationship Id="rId4"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spacing w:line="240" w:lineRule="auto"/>
        <w:jc w:val="center"/>
        <w:rPr>
          <w:rFonts w:hint="default"/>
          <w:spacing w:val="0"/>
        </w:rPr>
      </w:pPr>
      <w:r>
        <w:rPr>
          <w:rFonts w:hint="eastAsia" w:ascii="ＭＳ 明朝" w:hAnsi="ＭＳ 明朝"/>
        </w:rPr>
        <w:t>消防用設備点検業務（松島・千鳥）仕様書</w:t>
      </w:r>
    </w:p>
    <w:p>
      <w:pPr>
        <w:pStyle w:val="15"/>
        <w:spacing w:line="240" w:lineRule="auto"/>
        <w:rPr>
          <w:rFonts w:hint="default"/>
          <w:spacing w:val="0"/>
        </w:rPr>
      </w:pPr>
      <w:r>
        <w:rPr>
          <w:rFonts w:hint="default"/>
        </w:rPr>
        <mc:AlternateContent>
          <mc:Choice Requires="wps">
            <w:drawing>
              <wp:anchor distT="0" distB="0" distL="114300" distR="114300" simplePos="0" relativeHeight="2" behindDoc="0" locked="0" layoutInCell="0" hidden="0" allowOverlap="1">
                <wp:simplePos x="0" y="0"/>
                <wp:positionH relativeFrom="column">
                  <wp:posOffset>86360</wp:posOffset>
                </wp:positionH>
                <wp:positionV relativeFrom="paragraph">
                  <wp:posOffset>105410</wp:posOffset>
                </wp:positionV>
                <wp:extent cx="6217920" cy="0"/>
                <wp:effectExtent l="0" t="635" r="29210" b="10795"/>
                <wp:wrapNone/>
                <wp:docPr id="1026" name="Line 2"/>
                <a:graphic xmlns:a="http://schemas.openxmlformats.org/drawingml/2006/main">
                  <a:graphicData uri="http://schemas.microsoft.com/office/word/2010/wordprocessingShape">
                    <wps:wsp>
                      <wps:cNvPr id="1026" name="Line 2"/>
                      <wps:cNvSpPr>
                        <a:spLocks noChangeShapeType="1"/>
                      </wps:cNvSpPr>
                      <wps:spPr>
                        <a:xfrm>
                          <a:off x="0" y="0"/>
                          <a:ext cx="6217920" cy="0"/>
                        </a:xfrm>
                        <a:prstGeom prst="line">
                          <a:avLst/>
                        </a:prstGeom>
                        <a:noFill/>
                        <a:ln w="6350">
                          <a:solidFill>
                            <a:srgbClr val="000000"/>
                          </a:solidFill>
                          <a:round/>
                          <a:headEnd/>
                          <a:tailEnd/>
                        </a:ln>
                      </wps:spPr>
                      <wps:bodyPr/>
                    </wps:wsp>
                  </a:graphicData>
                </a:graphic>
              </wp:anchor>
            </w:drawing>
          </mc:Choice>
          <mc:Fallback>
            <w:pict>
              <v:line id="Line 2" style="z-index:2;mso-wrap-distance-top:0pt;mso-position-horizontal-relative:text;position:absolute;mso-position-vertical-relative:text;mso-wrap-distance-bottom:0pt;mso-wrap-distance-left:9pt;mso-wrap-distance-right:9pt;" o:spid="_x0000_s1026" o:allowincell="f" o:allowoverlap="t" filled="f" stroked="t" strokecolor="#000000" strokeweight="0.5pt" o:spt="20" from="6.8000000000000007pt,8.3000000000000007pt" to="496.4pt,8.3000000000000007pt">
                <v:fill/>
                <v:stroke filltype="solid"/>
                <v:textbox style="layout-flow:horizontal;"/>
                <v:imagedata o:title=""/>
                <o:lock v:ext="edit" shapetype="t"/>
                <w10:wrap type="none" anchorx="text" anchory="text"/>
              </v:line>
            </w:pict>
          </mc:Fallback>
        </mc:AlternateContent>
      </w: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r>
        <w:rPr>
          <w:rFonts w:hint="eastAsia" w:ascii="ＭＳ 明朝" w:hAnsi="ＭＳ 明朝"/>
          <w:spacing w:val="8"/>
        </w:rPr>
        <w:t xml:space="preserve"> </w:t>
      </w:r>
    </w:p>
    <w:p>
      <w:pPr>
        <w:pStyle w:val="15"/>
        <w:spacing w:line="240" w:lineRule="auto"/>
        <w:ind w:firstLine="272" w:firstLineChars="100"/>
        <w:rPr>
          <w:rFonts w:hint="default"/>
          <w:spacing w:val="0"/>
        </w:rPr>
      </w:pPr>
      <w:r>
        <w:rPr>
          <w:rFonts w:hint="eastAsia" w:ascii="ＭＳ 明朝" w:hAnsi="ＭＳ 明朝"/>
        </w:rPr>
        <w:t>１　</w:t>
      </w:r>
      <w:r>
        <w:rPr>
          <w:rFonts w:hint="eastAsia" w:ascii="ＭＳ 明朝" w:hAnsi="ＭＳ 明朝"/>
          <w:spacing w:val="0"/>
          <w:fitText w:val="960" w:id="1"/>
        </w:rPr>
        <w:t>業務番号</w:t>
      </w:r>
      <w:r>
        <w:rPr>
          <w:rFonts w:hint="eastAsia" w:ascii="ＭＳ 明朝" w:hAnsi="ＭＳ 明朝"/>
        </w:rPr>
        <w:t>　　建</w:t>
      </w:r>
      <w:r>
        <w:rPr>
          <w:rFonts w:hint="eastAsia" w:ascii="ＭＳ 明朝" w:hAnsi="ＭＳ 明朝"/>
          <w:color w:val="auto"/>
        </w:rPr>
        <w:t>築第</w:t>
      </w:r>
      <w:bookmarkStart w:id="0" w:name="_GoBack"/>
      <w:bookmarkEnd w:id="0"/>
      <w:r>
        <w:rPr>
          <w:rFonts w:hint="eastAsia" w:ascii="ＭＳ 明朝" w:hAnsi="ＭＳ 明朝"/>
          <w:color w:val="auto"/>
        </w:rPr>
        <w:t>６</w:t>
      </w:r>
      <w:r>
        <w:rPr>
          <w:rFonts w:hint="eastAsia" w:ascii="ＭＳ 明朝" w:hAnsi="ＭＳ 明朝"/>
        </w:rPr>
        <w:t>号　</w:t>
      </w:r>
    </w:p>
    <w:p>
      <w:pPr>
        <w:pStyle w:val="15"/>
        <w:spacing w:line="240" w:lineRule="auto"/>
        <w:rPr>
          <w:rFonts w:hint="default"/>
          <w:spacing w:val="0"/>
        </w:rPr>
      </w:pPr>
    </w:p>
    <w:p>
      <w:pPr>
        <w:pStyle w:val="15"/>
        <w:spacing w:line="240" w:lineRule="auto"/>
        <w:ind w:firstLine="272" w:firstLineChars="100"/>
        <w:rPr>
          <w:rFonts w:hint="default" w:ascii="ＭＳ 明朝" w:hAnsi="ＭＳ 明朝"/>
          <w:spacing w:val="8"/>
        </w:rPr>
      </w:pPr>
      <w:r>
        <w:rPr>
          <w:rFonts w:hint="eastAsia" w:ascii="ＭＳ 明朝" w:hAnsi="ＭＳ 明朝"/>
        </w:rPr>
        <w:t>２　</w:t>
      </w:r>
      <w:r>
        <w:rPr>
          <w:rFonts w:hint="eastAsia" w:ascii="ＭＳ 明朝" w:hAnsi="ＭＳ 明朝"/>
          <w:spacing w:val="60"/>
          <w:fitText w:val="960" w:id="2"/>
        </w:rPr>
        <w:t>業務</w:t>
      </w:r>
      <w:r>
        <w:rPr>
          <w:rFonts w:hint="eastAsia" w:ascii="ＭＳ 明朝" w:hAnsi="ＭＳ 明朝"/>
          <w:spacing w:val="0"/>
          <w:fitText w:val="960" w:id="2"/>
        </w:rPr>
        <w:t>名</w:t>
      </w:r>
      <w:r>
        <w:rPr>
          <w:rFonts w:hint="eastAsia" w:ascii="ＭＳ 明朝" w:hAnsi="ＭＳ 明朝"/>
          <w:spacing w:val="8"/>
        </w:rPr>
        <w:t>　　消防用設備点検業務（松島・千鳥）</w:t>
      </w:r>
    </w:p>
    <w:p>
      <w:pPr>
        <w:pStyle w:val="15"/>
        <w:spacing w:line="240" w:lineRule="auto"/>
        <w:rPr>
          <w:rFonts w:hint="default"/>
          <w:spacing w:val="0"/>
        </w:rPr>
      </w:pPr>
    </w:p>
    <w:p>
      <w:pPr>
        <w:pStyle w:val="15"/>
        <w:spacing w:line="240" w:lineRule="auto"/>
        <w:ind w:firstLine="272" w:firstLineChars="100"/>
        <w:rPr>
          <w:rFonts w:hint="default"/>
          <w:spacing w:val="0"/>
        </w:rPr>
      </w:pPr>
      <w:r>
        <w:rPr>
          <w:rFonts w:hint="eastAsia" w:ascii="ＭＳ 明朝" w:hAnsi="ＭＳ 明朝"/>
        </w:rPr>
        <w:t>３　</w:t>
      </w:r>
      <w:r>
        <w:rPr>
          <w:rFonts w:hint="eastAsia" w:ascii="ＭＳ 明朝" w:hAnsi="ＭＳ 明朝"/>
          <w:spacing w:val="0"/>
          <w:fitText w:val="960" w:id="3"/>
        </w:rPr>
        <w:t>業務場所</w:t>
      </w:r>
      <w:r>
        <w:rPr>
          <w:rFonts w:hint="eastAsia" w:ascii="ＭＳ 明朝" w:hAnsi="ＭＳ 明朝"/>
        </w:rPr>
        <w:t>　　五所川原市松島町、大字湊　地内</w:t>
      </w:r>
    </w:p>
    <w:p>
      <w:pPr>
        <w:pStyle w:val="15"/>
        <w:spacing w:line="240" w:lineRule="auto"/>
        <w:rPr>
          <w:rFonts w:hint="default"/>
          <w:spacing w:val="0"/>
        </w:rPr>
      </w:pPr>
    </w:p>
    <w:p>
      <w:pPr>
        <w:pStyle w:val="15"/>
        <w:spacing w:line="240" w:lineRule="auto"/>
        <w:ind w:left="2250" w:leftChars="100" w:hanging="2040" w:hangingChars="750"/>
        <w:rPr>
          <w:rFonts w:hint="default" w:ascii="ＭＳ 明朝" w:hAnsi="ＭＳ 明朝"/>
          <w:color w:val="auto"/>
        </w:rPr>
      </w:pPr>
      <w:r>
        <w:rPr>
          <w:rFonts w:hint="eastAsia" w:ascii="ＭＳ 明朝" w:hAnsi="ＭＳ 明朝"/>
        </w:rPr>
        <w:t>４　</w:t>
      </w:r>
      <w:r>
        <w:rPr>
          <w:rFonts w:hint="eastAsia" w:ascii="ＭＳ 明朝" w:hAnsi="ＭＳ 明朝"/>
          <w:spacing w:val="0"/>
          <w:fitText w:val="960" w:id="4"/>
        </w:rPr>
        <w:t>業務概要</w:t>
      </w:r>
      <w:r>
        <w:rPr>
          <w:rFonts w:hint="eastAsia" w:ascii="ＭＳ 明朝" w:hAnsi="ＭＳ 明朝"/>
          <w:spacing w:val="8"/>
        </w:rPr>
        <w:t>　　以下団地の消防用設備等を総合点検、機器点検の二回行う。</w:t>
      </w:r>
      <w:r>
        <w:rPr>
          <w:rFonts w:hint="eastAsia" w:ascii="ＭＳ 明朝" w:hAnsi="ＭＳ 明朝"/>
          <w:color w:val="auto"/>
          <w:spacing w:val="8"/>
        </w:rPr>
        <w:t>当該作業は、第２種消防設備点検資格者又は第４類消防設備士の資格を有し、且つ第一種電気工事士又は第二種電気工事士の資格を有するものに行わせるものとする。</w:t>
      </w:r>
    </w:p>
    <w:p>
      <w:pPr>
        <w:pStyle w:val="15"/>
        <w:wordWrap w:val="1"/>
        <w:adjustRightInd w:val="1"/>
        <w:spacing w:line="240" w:lineRule="auto"/>
        <w:rPr>
          <w:rFonts w:hint="default" w:ascii="ＭＳ 明朝" w:hAnsi="ＭＳ 明朝"/>
          <w:color w:val="auto"/>
        </w:rPr>
      </w:pPr>
    </w:p>
    <w:p>
      <w:pPr>
        <w:pStyle w:val="15"/>
        <w:wordWrap w:val="1"/>
        <w:spacing w:line="240" w:lineRule="auto"/>
        <w:ind w:firstLine="272" w:firstLineChars="100"/>
        <w:rPr>
          <w:rFonts w:hint="default" w:ascii="ＭＳ 明朝" w:hAnsi="ＭＳ 明朝"/>
          <w:color w:val="auto"/>
        </w:rPr>
      </w:pPr>
      <w:r>
        <w:rPr>
          <w:rFonts w:hint="eastAsia" w:ascii="ＭＳ 明朝" w:hAnsi="ＭＳ 明朝"/>
          <w:color w:val="auto"/>
        </w:rPr>
        <w:t>（１）松島団地・自動火災報知設備</w:t>
      </w:r>
    </w:p>
    <w:p>
      <w:pPr>
        <w:pStyle w:val="15"/>
        <w:wordWrap w:val="1"/>
        <w:spacing w:line="240" w:lineRule="auto"/>
        <w:ind w:firstLine="2448" w:firstLineChars="900"/>
        <w:rPr>
          <w:rFonts w:hint="default" w:ascii="ＭＳ 明朝" w:hAnsi="ＭＳ 明朝"/>
          <w:color w:val="auto"/>
        </w:rPr>
      </w:pPr>
      <w:r>
        <w:rPr>
          <w:rFonts w:hint="eastAsia" w:ascii="ＭＳ 明朝" w:hAnsi="ＭＳ 明朝"/>
          <w:color w:val="auto"/>
        </w:rPr>
        <w:t>受信機：Ｒ型壁掛型２５５アドレス　　　　２２面</w:t>
      </w:r>
    </w:p>
    <w:p>
      <w:pPr>
        <w:pStyle w:val="15"/>
        <w:wordWrap w:val="1"/>
        <w:spacing w:line="240" w:lineRule="auto"/>
        <w:ind w:firstLine="2176" w:firstLineChars="800"/>
        <w:rPr>
          <w:rFonts w:hint="default" w:ascii="ＭＳ 明朝" w:hAnsi="ＭＳ 明朝"/>
          <w:color w:val="auto"/>
        </w:rPr>
      </w:pPr>
      <w:r>
        <w:rPr>
          <w:rFonts w:hint="eastAsia" w:ascii="ＭＳ 明朝" w:hAnsi="ＭＳ 明朝"/>
          <w:color w:val="auto"/>
        </w:rPr>
        <w:t>・総合盤Ｐ型１級埋込型アドレッサブル機能付５０個</w:t>
      </w:r>
    </w:p>
    <w:p>
      <w:pPr>
        <w:pStyle w:val="15"/>
        <w:wordWrap w:val="1"/>
        <w:spacing w:line="240" w:lineRule="auto"/>
        <w:ind w:firstLine="2400" w:firstLineChars="1000"/>
        <w:rPr>
          <w:rFonts w:hint="default" w:ascii="ＭＳ 明朝" w:hAnsi="ＭＳ 明朝"/>
          <w:color w:val="auto"/>
        </w:rPr>
      </w:pPr>
      <w:r>
        <w:rPr>
          <w:rFonts w:hint="eastAsia"/>
          <w:color w:val="auto"/>
          <w:spacing w:val="0"/>
        </w:rPr>
        <w:t>表示灯ＡＣ／ＤＣ２４Ｖ．２１ｍＡ　　　　　　　</w:t>
      </w:r>
      <w:r>
        <w:rPr>
          <w:rFonts w:hint="eastAsia" w:ascii="ＭＳ 明朝" w:hAnsi="ＭＳ 明朝"/>
          <w:color w:val="auto"/>
        </w:rPr>
        <w:t>５０個</w:t>
      </w:r>
    </w:p>
    <w:p>
      <w:pPr>
        <w:pStyle w:val="15"/>
        <w:wordWrap w:val="1"/>
        <w:spacing w:line="240" w:lineRule="auto"/>
        <w:ind w:firstLine="2400" w:firstLineChars="1000"/>
        <w:rPr>
          <w:rFonts w:hint="default" w:ascii="ＭＳ 明朝" w:hAnsi="ＭＳ 明朝"/>
          <w:color w:val="auto"/>
        </w:rPr>
      </w:pPr>
      <w:r>
        <w:rPr>
          <w:rFonts w:hint="eastAsia"/>
          <w:color w:val="auto"/>
          <w:spacing w:val="0"/>
        </w:rPr>
        <w:t>電鈴　ＤＣ２４Ｖ．φ１５０ｍｍ　　　　　　　　</w:t>
      </w:r>
      <w:r>
        <w:rPr>
          <w:rFonts w:hint="eastAsia" w:ascii="ＭＳ 明朝" w:hAnsi="ＭＳ 明朝"/>
          <w:color w:val="auto"/>
        </w:rPr>
        <w:t>５０個</w:t>
      </w:r>
    </w:p>
    <w:p>
      <w:pPr>
        <w:pStyle w:val="15"/>
        <w:wordWrap w:val="1"/>
        <w:spacing w:line="240" w:lineRule="auto"/>
        <w:ind w:firstLine="2400" w:firstLineChars="1000"/>
        <w:rPr>
          <w:rFonts w:hint="default" w:ascii="ＭＳ 明朝" w:hAnsi="ＭＳ 明朝"/>
          <w:color w:val="auto"/>
        </w:rPr>
      </w:pPr>
      <w:r>
        <w:rPr>
          <w:rFonts w:hint="eastAsia"/>
          <w:color w:val="auto"/>
          <w:spacing w:val="0"/>
        </w:rPr>
        <w:t>光電アナログ式スポット型感知器　　　　　　　　</w:t>
      </w:r>
      <w:r>
        <w:rPr>
          <w:rFonts w:hint="eastAsia" w:ascii="ＭＳ 明朝" w:hAnsi="ＭＳ 明朝"/>
          <w:color w:val="auto"/>
        </w:rPr>
        <w:t>５０個</w:t>
      </w:r>
    </w:p>
    <w:p>
      <w:pPr>
        <w:pStyle w:val="15"/>
        <w:wordWrap w:val="1"/>
        <w:spacing w:line="240" w:lineRule="auto"/>
        <w:ind w:firstLine="2400" w:firstLineChars="1000"/>
        <w:rPr>
          <w:rFonts w:hint="default" w:ascii="ＭＳ 明朝" w:hAnsi="ＭＳ 明朝"/>
          <w:color w:val="auto"/>
        </w:rPr>
      </w:pPr>
      <w:r>
        <w:rPr>
          <w:rFonts w:hint="eastAsia"/>
          <w:color w:val="auto"/>
          <w:spacing w:val="0"/>
        </w:rPr>
        <w:t>室外表示型（ＬＥＤ）　　　　　　　　　　　　１０８</w:t>
      </w:r>
      <w:r>
        <w:rPr>
          <w:rFonts w:hint="eastAsia" w:ascii="ＭＳ 明朝" w:hAnsi="ＭＳ 明朝"/>
          <w:color w:val="auto"/>
        </w:rPr>
        <w:t>個</w:t>
      </w:r>
    </w:p>
    <w:p>
      <w:pPr>
        <w:pStyle w:val="15"/>
        <w:wordWrap w:val="1"/>
        <w:spacing w:line="240" w:lineRule="auto"/>
        <w:ind w:firstLine="2160" w:firstLineChars="900"/>
        <w:rPr>
          <w:rFonts w:hint="default" w:ascii="ＭＳ 明朝" w:hAnsi="ＭＳ 明朝"/>
          <w:color w:val="auto"/>
        </w:rPr>
      </w:pPr>
      <w:r>
        <w:rPr>
          <w:rFonts w:hint="eastAsia"/>
          <w:color w:val="auto"/>
          <w:spacing w:val="0"/>
        </w:rPr>
        <w:t>・非常口誘導標識　　　　　　　　　　　　　　　１２９箇所</w:t>
      </w:r>
    </w:p>
    <w:p>
      <w:pPr>
        <w:pStyle w:val="15"/>
        <w:wordWrap w:val="1"/>
        <w:spacing w:line="240" w:lineRule="auto"/>
        <w:ind w:firstLine="480" w:firstLineChars="200"/>
        <w:rPr>
          <w:rFonts w:hint="default"/>
          <w:color w:val="auto"/>
          <w:spacing w:val="0"/>
        </w:rPr>
      </w:pPr>
      <w:r>
        <w:rPr>
          <w:rFonts w:hint="eastAsia"/>
          <w:color w:val="auto"/>
          <w:spacing w:val="0"/>
        </w:rPr>
        <w:t>（２）千鳥団地</w:t>
      </w:r>
    </w:p>
    <w:p>
      <w:pPr>
        <w:pStyle w:val="15"/>
        <w:wordWrap w:val="1"/>
        <w:spacing w:line="240" w:lineRule="auto"/>
        <w:ind w:firstLine="2160" w:firstLineChars="900"/>
        <w:rPr>
          <w:rFonts w:hint="default"/>
          <w:color w:val="auto"/>
          <w:spacing w:val="0"/>
        </w:rPr>
      </w:pPr>
      <w:r>
        <w:rPr>
          <w:rFonts w:hint="eastAsia"/>
          <w:color w:val="auto"/>
          <w:spacing w:val="0"/>
        </w:rPr>
        <w:t>・自動火災報知設備</w:t>
      </w:r>
    </w:p>
    <w:p>
      <w:pPr>
        <w:pStyle w:val="15"/>
        <w:wordWrap w:val="1"/>
        <w:spacing w:line="240" w:lineRule="auto"/>
        <w:ind w:firstLine="2400" w:firstLineChars="1000"/>
        <w:rPr>
          <w:rFonts w:hint="default"/>
          <w:color w:val="auto"/>
          <w:spacing w:val="0"/>
        </w:rPr>
      </w:pPr>
      <w:r>
        <w:rPr>
          <w:rFonts w:hint="eastAsia"/>
          <w:color w:val="auto"/>
          <w:spacing w:val="0"/>
        </w:rPr>
        <w:t>受信機（ＧＰ型３級）　　　　　　　　　　　　１０８箇所</w:t>
      </w:r>
    </w:p>
    <w:p>
      <w:pPr>
        <w:pStyle w:val="15"/>
        <w:wordWrap w:val="1"/>
        <w:spacing w:line="240" w:lineRule="auto"/>
        <w:ind w:firstLine="2160" w:firstLineChars="900"/>
        <w:rPr>
          <w:rFonts w:hint="default"/>
          <w:color w:val="auto"/>
          <w:spacing w:val="0"/>
        </w:rPr>
      </w:pPr>
      <w:r>
        <w:rPr>
          <w:rFonts w:hint="eastAsia"/>
          <w:color w:val="auto"/>
          <w:spacing w:val="0"/>
        </w:rPr>
        <w:t>（４～１０、１２、１３号棟・・・９棟×１２戸＜各部屋＞）</w:t>
      </w:r>
    </w:p>
    <w:p>
      <w:pPr>
        <w:pStyle w:val="15"/>
        <w:wordWrap w:val="1"/>
        <w:spacing w:line="240" w:lineRule="auto"/>
        <w:ind w:firstLine="2160" w:firstLineChars="900"/>
        <w:rPr>
          <w:rFonts w:hint="default"/>
          <w:color w:val="auto"/>
          <w:spacing w:val="0"/>
        </w:rPr>
      </w:pPr>
      <w:r>
        <w:rPr>
          <w:rFonts w:hint="eastAsia"/>
          <w:color w:val="auto"/>
          <w:spacing w:val="0"/>
        </w:rPr>
        <w:t>・受信機（Ｐ型２級１回線）　　　　　　　　　　　１８箇所</w:t>
      </w:r>
    </w:p>
    <w:p>
      <w:pPr>
        <w:pStyle w:val="15"/>
        <w:wordWrap w:val="1"/>
        <w:spacing w:line="240" w:lineRule="auto"/>
        <w:ind w:firstLine="2160" w:firstLineChars="900"/>
        <w:rPr>
          <w:rFonts w:hint="default"/>
          <w:color w:val="auto"/>
          <w:spacing w:val="0"/>
        </w:rPr>
      </w:pPr>
      <w:r>
        <w:rPr>
          <w:rFonts w:hint="eastAsia"/>
          <w:color w:val="auto"/>
          <w:spacing w:val="0"/>
        </w:rPr>
        <w:t>（４～１０、１２、１３号棟・・・９棟×２箇所＜階段室＞）</w:t>
      </w:r>
    </w:p>
    <w:p>
      <w:pPr>
        <w:pStyle w:val="15"/>
        <w:wordWrap w:val="1"/>
        <w:spacing w:line="240" w:lineRule="auto"/>
        <w:ind w:firstLine="2160" w:firstLineChars="900"/>
        <w:rPr>
          <w:rFonts w:hint="default"/>
          <w:color w:val="auto"/>
          <w:spacing w:val="0"/>
        </w:rPr>
      </w:pPr>
      <w:r>
        <w:rPr>
          <w:rFonts w:hint="eastAsia"/>
          <w:color w:val="auto"/>
          <w:spacing w:val="0"/>
        </w:rPr>
        <w:t>・避難器具　　　　　　　　　　　　　　　　　　１０４箇所</w:t>
      </w:r>
    </w:p>
    <w:p>
      <w:pPr>
        <w:pStyle w:val="15"/>
        <w:wordWrap w:val="1"/>
        <w:adjustRightInd w:val="1"/>
        <w:spacing w:line="240" w:lineRule="auto"/>
        <w:ind w:firstLine="2160" w:firstLineChars="900"/>
        <w:rPr>
          <w:rFonts w:hint="default" w:ascii="ＭＳ 明朝" w:hAnsi="ＭＳ 明朝"/>
          <w:color w:val="auto"/>
        </w:rPr>
      </w:pPr>
      <w:r>
        <w:rPr>
          <w:rFonts w:hint="eastAsia"/>
          <w:color w:val="auto"/>
          <w:spacing w:val="0"/>
        </w:rPr>
        <w:t>（ＳＴ－１０７ブザーライト付バルコニー）</w:t>
      </w:r>
    </w:p>
    <w:p>
      <w:pPr>
        <w:pStyle w:val="15"/>
        <w:spacing w:line="240" w:lineRule="auto"/>
        <w:rPr>
          <w:rFonts w:hint="default"/>
          <w:color w:val="auto"/>
          <w:spacing w:val="0"/>
        </w:rPr>
      </w:pPr>
    </w:p>
    <w:p>
      <w:pPr>
        <w:pStyle w:val="15"/>
        <w:spacing w:line="240" w:lineRule="auto"/>
        <w:ind w:firstLine="256" w:firstLineChars="100"/>
        <w:rPr>
          <w:rFonts w:hint="default" w:ascii="ＭＳ 明朝" w:hAnsi="ＭＳ 明朝"/>
          <w:color w:val="auto"/>
          <w:spacing w:val="8"/>
        </w:rPr>
      </w:pPr>
      <w:r>
        <w:rPr>
          <w:rFonts w:hint="eastAsia" w:ascii="ＭＳ 明朝" w:hAnsi="ＭＳ 明朝"/>
          <w:color w:val="auto"/>
          <w:spacing w:val="8"/>
        </w:rPr>
        <w:t>５　提出書類　　外観点検に係る消防用設備等（特殊消防用設備等）</w:t>
      </w:r>
    </w:p>
    <w:p>
      <w:pPr>
        <w:pStyle w:val="15"/>
        <w:spacing w:line="240" w:lineRule="auto"/>
        <w:rPr>
          <w:rFonts w:hint="default" w:ascii="ＭＳ 明朝" w:hAnsi="ＭＳ 明朝"/>
          <w:color w:val="auto"/>
          <w:spacing w:val="8"/>
        </w:rPr>
      </w:pPr>
      <w:r>
        <w:rPr>
          <w:rFonts w:hint="eastAsia" w:ascii="ＭＳ 明朝" w:hAnsi="ＭＳ 明朝"/>
          <w:color w:val="auto"/>
          <w:spacing w:val="8"/>
        </w:rPr>
        <w:t>　　　　　　　　　点検結果報告書（正・副本）各１部提出</w:t>
      </w:r>
    </w:p>
    <w:p>
      <w:pPr>
        <w:pStyle w:val="15"/>
        <w:spacing w:line="240" w:lineRule="auto"/>
        <w:ind w:firstLine="2048" w:firstLineChars="800"/>
        <w:rPr>
          <w:rFonts w:hint="default" w:ascii="ＭＳ 明朝" w:hAnsi="ＭＳ 明朝"/>
          <w:color w:val="auto"/>
          <w:spacing w:val="8"/>
        </w:rPr>
      </w:pPr>
      <w:r>
        <w:rPr>
          <w:rFonts w:hint="eastAsia" w:ascii="ＭＳ 明朝" w:hAnsi="ＭＳ 明朝"/>
          <w:color w:val="auto"/>
          <w:spacing w:val="8"/>
        </w:rPr>
        <w:t>　機能点検に係る消防用設備等（特殊消防用設備等）</w:t>
      </w:r>
    </w:p>
    <w:p>
      <w:pPr>
        <w:pStyle w:val="15"/>
        <w:spacing w:line="240" w:lineRule="auto"/>
        <w:rPr>
          <w:rFonts w:hint="default"/>
          <w:color w:val="auto"/>
          <w:spacing w:val="0"/>
        </w:rPr>
      </w:pPr>
      <w:r>
        <w:rPr>
          <w:rFonts w:hint="eastAsia" w:ascii="ＭＳ 明朝" w:hAnsi="ＭＳ 明朝"/>
          <w:color w:val="auto"/>
          <w:spacing w:val="8"/>
        </w:rPr>
        <w:t>　　　　　　　　　点検結果報告書（正・副本）各１部提出</w:t>
      </w:r>
    </w:p>
    <w:p>
      <w:pPr>
        <w:pStyle w:val="15"/>
        <w:spacing w:line="240" w:lineRule="auto"/>
        <w:rPr>
          <w:rFonts w:hint="default"/>
          <w:color w:val="auto"/>
          <w:spacing w:val="0"/>
        </w:rPr>
      </w:pPr>
    </w:p>
    <w:p>
      <w:pPr>
        <w:pStyle w:val="15"/>
        <w:spacing w:line="240" w:lineRule="auto"/>
        <w:rPr>
          <w:rFonts w:hint="default"/>
        </w:rPr>
      </w:pPr>
      <w:r>
        <w:rPr>
          <w:rFonts w:hint="eastAsia"/>
          <w:color w:val="auto"/>
          <w:spacing w:val="0"/>
        </w:rPr>
        <w:t>　　６　期　　限　　　令和９年３月３１日</w:t>
      </w:r>
    </w:p>
    <w:sectPr>
      <w:pgSz w:w="11910" w:h="16834"/>
      <w:pgMar w:top="1134" w:right="1134" w:bottom="1134" w:left="567" w:header="720" w:footer="720" w:gutter="0"/>
      <w:cols w:space="720"/>
      <w:noEndnote w:val="1"/>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savePreviewPicture/>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301" w:lineRule="exact"/>
      <w:jc w:val="both"/>
    </w:pPr>
    <w:rPr>
      <w:rFonts w:ascii="Century" w:hAnsi="Century" w:eastAsia="ＭＳ 明朝"/>
      <w:spacing w:val="16"/>
      <w:kern w:val="0"/>
      <w:sz w:val="24"/>
    </w:rPr>
  </w:style>
  <w:style w:type="paragraph" w:styleId="16">
    <w:name w:val="Balloon Text"/>
    <w:basedOn w:val="0"/>
    <w:next w:val="16"/>
    <w:link w:val="17"/>
    <w:uiPriority w:val="0"/>
    <w:semiHidden/>
    <w:rPr>
      <w:rFonts w:asciiTheme="majorHAnsi" w:hAnsiTheme="majorHAnsi" w:eastAsiaTheme="majorEastAsia"/>
      <w:sz w:val="18"/>
    </w:rPr>
  </w:style>
  <w:style w:type="character" w:styleId="17" w:customStyle="1">
    <w:name w:val="吹き出し (文字)"/>
    <w:basedOn w:val="10"/>
    <w:next w:val="17"/>
    <w:link w:val="16"/>
    <w:uiPriority w:val="0"/>
    <w:rPr>
      <w:rFonts w:asciiTheme="majorHAnsi" w:hAnsiTheme="majorHAnsi" w:eastAsiaTheme="majorEastAsia"/>
      <w:sz w:val="18"/>
    </w:rPr>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basedOn w:val="10"/>
    <w:next w:val="19"/>
    <w:link w:val="18"/>
    <w:uiPriority w:val="0"/>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basedOn w:val="10"/>
    <w:next w:val="21"/>
    <w:link w:val="20"/>
    <w:uiPriority w:val="0"/>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308</TotalTime>
  <Pages>1</Pages>
  <Words>0</Words>
  <Characters>493</Characters>
  <Application>JUST Note</Application>
  <Lines>37</Lines>
  <Paragraphs>27</Paragraphs>
  <CharactersWithSpaces>639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2024-04-23T23:50:51Z</cp:lastPrinted>
  <dcterms:created xsi:type="dcterms:W3CDTF">2016-09-15T04:51:00Z</dcterms:created>
  <dcterms:modified xsi:type="dcterms:W3CDTF">2026-05-07T01:17:39Z</dcterms:modified>
  <cp:revision>10</cp:revision>
</cp:coreProperties>
</file>